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bookmarkStart w:id="2" w:name="_GoBack"/>
      <w:bookmarkEnd w:id="2"/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公共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管理案例分析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》实验课程教学大纲</w:t>
      </w:r>
    </w:p>
    <w:p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公共管理沙盘模拟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Case Analysis of Public Administration</w:t>
            </w:r>
          </w:p>
        </w:tc>
        <w:tc>
          <w:tcPr>
            <w:tcW w:w="725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是 </w:t>
            </w: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28114025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ascii="宋体" w:hAnsi="宋体" w:eastAsia="宋体" w:cs="宋体"/>
                <w:szCs w:val="21"/>
              </w:rPr>
              <w:t>综合实践课程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int="eastAsia" w:hAnsi="宋体"/>
                <w:szCs w:val="21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hAnsi="宋体"/>
                <w:szCs w:val="21"/>
                <w:lang w:bidi="ar"/>
              </w:rPr>
              <w:t>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报告   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课堂表现  </w:t>
            </w:r>
            <w:r>
              <w:rPr>
                <w:rFonts w:ascii="Wingdings 2" w:hAnsi="Wingdings 2" w:eastAsia="宋体" w:cs="宋体"/>
                <w:szCs w:val="21"/>
                <w:lang w:bidi="ar"/>
              </w:rPr>
              <w:t>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平时实验  □平时作业   □其他</w:t>
            </w:r>
            <w:r>
              <w:rPr>
                <w:rFonts w:hint="eastAsia" w:hAnsi="宋体"/>
                <w:szCs w:val="21"/>
                <w:lang w:bidi="ar"/>
              </w:rPr>
              <w:t>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公共管理系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公共事业管理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第6学期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罗扬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罗文宝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公共管理学、公共经济学、公共政策学、公共部门财务管理、公共事业管理概论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公共事业沙盘模拟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毕业实习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高峻峰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财政学与公共管理实验教程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[M]. 北京: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高等教育</w:t>
            </w:r>
            <w:r>
              <w:rPr>
                <w:rFonts w:ascii="Times New Roman" w:hAnsi="Times New Roman" w:eastAsia="宋体" w:cs="Times New Roman"/>
                <w:szCs w:val="21"/>
              </w:rPr>
              <w:t>出版社, 2022.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胡晓东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公共管理案例分析实验实训教程（第二版）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[M].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武汉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: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华中科技大学</w:t>
            </w:r>
            <w:r>
              <w:rPr>
                <w:rFonts w:ascii="Times New Roman" w:hAnsi="Times New Roman" w:eastAsia="宋体" w:cs="Times New Roman"/>
                <w:szCs w:val="21"/>
              </w:rPr>
              <w:t>出版社, 2021.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2.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高峻峰. 公共管理模拟实验沙盘实验指导书 [M].成都：四川师范大学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《公共管理案例分析》是公共事业管理专业的一门重要综合实践课程，旨在通过深入分析真实案例，使学生能够将所学的公共管理理论知识与实际应用相结合，提升解决复杂公共管理问题的能力。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课程的主要内容包括：案例选择与背景介绍、案例分析方法与技巧讲解、政府治理与公共政策制定案例分析、公共资源配置与效率提升案例分析、公共危机管理与应急响应案例分析、公共服务创新与质量管理案例分析、以及绩效评估与持续改进案例分析等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通过本课程的学习，学生不仅能够加深对公共管理学、公共政策学、公共经济学等基础理论知识的理解，还能够掌握如何运用这些理论来分析、解释和解决实际公共管理问题。同时，本课程注重培养学生的批判性思维、创新能力和团队协作精神，使学生能够在复杂多变的公共管理环境中灵活应对，为未来的职业生涯奠定坚实的基础。</w:t>
            </w:r>
          </w:p>
          <w:p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/>
              </w:rPr>
              <w:t>《公共管理案例分析》课程旨在培养学生理论联系实际的科学态度，提升学生的综合素质和实践能力，为培养高水平的公共管理专业人才提供有力支持。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7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Calibri" w:eastAsia="宋体" w:cs="宋体"/>
                <w:kern w:val="0"/>
                <w:sz w:val="22"/>
              </w:rPr>
              <w:t>能概述公共管理学</w:t>
            </w:r>
            <w:r>
              <w:rPr>
                <w:rFonts w:ascii="宋体" w:hAnsi="Calibri" w:eastAsia="宋体" w:cs="宋体"/>
                <w:kern w:val="0"/>
                <w:sz w:val="22"/>
              </w:rPr>
              <w:t>、公共经济学、公共政策学有关</w:t>
            </w:r>
            <w:r>
              <w:rPr>
                <w:rFonts w:hint="eastAsia" w:ascii="宋体" w:hAnsi="Calibri" w:eastAsia="宋体" w:cs="宋体"/>
                <w:kern w:val="0"/>
                <w:sz w:val="22"/>
              </w:rPr>
              <w:t>理论、</w:t>
            </w:r>
            <w:r>
              <w:rPr>
                <w:rFonts w:ascii="宋体" w:hAnsi="Calibri" w:eastAsia="宋体" w:cs="宋体"/>
                <w:kern w:val="0"/>
                <w:sz w:val="22"/>
              </w:rPr>
              <w:t>知识</w:t>
            </w:r>
            <w:r>
              <w:rPr>
                <w:rFonts w:hint="eastAsia" w:ascii="宋体" w:hAnsi="Calibri" w:eastAsia="宋体" w:cs="宋体"/>
                <w:kern w:val="0"/>
                <w:sz w:val="22"/>
              </w:rPr>
              <w:t>；阐明政府的运行流程和政府各职能部门之间的联系与职责分工、部门公共政策对区域发展的影响、正确的政府绩效观、政府的各项经济扶持政策与民生发展政策等知识</w:t>
            </w:r>
            <w:r>
              <w:rPr>
                <w:rFonts w:ascii="宋体" w:hAnsi="Calibri" w:eastAsia="宋体" w:cs="宋体"/>
                <w:kern w:val="0"/>
                <w:sz w:val="22"/>
              </w:rPr>
              <w:t>、理论与模型</w:t>
            </w:r>
            <w:r>
              <w:rPr>
                <w:rFonts w:hint="eastAsia" w:ascii="宋体" w:hAnsi="Calibri" w:eastAsia="宋体" w:cs="宋体"/>
                <w:kern w:val="0"/>
                <w:sz w:val="22"/>
              </w:rPr>
              <w:t>及其</w:t>
            </w:r>
            <w:r>
              <w:rPr>
                <w:rFonts w:ascii="宋体" w:hAnsi="Calibri" w:eastAsia="宋体" w:cs="宋体"/>
                <w:kern w:val="0"/>
                <w:sz w:val="22"/>
              </w:rPr>
              <w:t>在</w:t>
            </w:r>
            <w:r>
              <w:rPr>
                <w:rFonts w:hint="eastAsia" w:ascii="宋体" w:hAnsi="Calibri" w:eastAsia="宋体" w:cs="宋体"/>
                <w:kern w:val="0"/>
                <w:sz w:val="22"/>
              </w:rPr>
              <w:t>在现实工作中的应用的</w:t>
            </w:r>
            <w:r>
              <w:rPr>
                <w:rFonts w:ascii="宋体" w:hAnsi="Calibri" w:eastAsia="宋体" w:cs="宋体"/>
                <w:kern w:val="0"/>
                <w:sz w:val="22"/>
              </w:rPr>
              <w:t>知识。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具备完成公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所需的公共管理理论、知识和方法；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正确运用公共管理理论、知识和方法认识、分析和解决公共管理相关现实问题，进行科学决策，实现公共管理目标的能力；具备组织和调动小组成员积极参与团队活动的组织能力和领导能力；培养和加强沟通交流能力与团队合作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具有较强的学习能力，根据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过程和结果，提出问题、不断总结反思，提高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公共实务实践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操作能力的素养；具有良好的公共精神和公共责任意识；具备新时代中国特色社会主义要求的公正、法治、绩效等观念；具备系统思维能力和求真务实的精神和作风；具有良好的合作、竞争精神。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1"/>
        <w:spacing w:line="320" w:lineRule="exact"/>
        <w:ind w:left="420" w:firstLine="422"/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表2-1 课程目标与毕业要求对应关系</w:t>
      </w:r>
    </w:p>
    <w:tbl>
      <w:tblPr>
        <w:tblStyle w:val="10"/>
        <w:tblW w:w="49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3847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毕业要求1：</w:t>
            </w:r>
            <w:r>
              <w:rPr>
                <w:rFonts w:hint="eastAsia" w:ascii="Times New Roman" w:hAnsi="Times New Roman" w:cs="Times New Roman"/>
                <w:szCs w:val="21"/>
              </w:rPr>
              <w:t>知识要求</w:t>
            </w:r>
            <w:r>
              <w:rPr>
                <w:rFonts w:ascii="Times New Roman" w:hAnsi="Times New Roman" w:cs="Times New Roman"/>
                <w:szCs w:val="21"/>
              </w:rPr>
              <w:t>【M】</w:t>
            </w: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</w:t>
            </w:r>
            <w:r>
              <w:rPr>
                <w:rFonts w:hint="eastAsia" w:ascii="Times New Roman" w:hAnsi="Times New Roman" w:cs="Times New Roman"/>
                <w:szCs w:val="21"/>
              </w:rPr>
              <w:t>跨界知识。了解管理学、经济学、法学、社会学、数据科学等跨学科、跨专业、跨行业等交叉知识，建立起完备的知识体系，具备公共管理基本的跨界融合知识；了解创新创业管理或服务活动所需要的基本知识和前沿理论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</w:t>
            </w:r>
            <w:r>
              <w:rPr>
                <w:rFonts w:hint="eastAsia" w:ascii="Times New Roman" w:hAnsi="Times New Roman" w:cs="Times New Roman"/>
                <w:szCs w:val="21"/>
              </w:rPr>
              <w:t>专业知识。具备公共管理基础、非营利组织管理、公共政策分析、公共财政（资源）分配和管理、公共服务提供、公共伦理和责任、社区参与和公众关系、领导力和管理技能等的基础知识和基本理论，了解公共管理学科的前沿理论和发展动态，了解公共管理的实践趋势和方法；熟悉我国关于公共管理方面的法律法规、政策和方针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毕业要求2：</w:t>
            </w:r>
            <w:r>
              <w:rPr>
                <w:rFonts w:hint="eastAsia" w:ascii="Times New Roman" w:hAnsi="Times New Roman" w:cs="Times New Roman"/>
                <w:szCs w:val="21"/>
              </w:rPr>
              <w:t>能力要求</w:t>
            </w:r>
            <w:r>
              <w:rPr>
                <w:rFonts w:ascii="Times New Roman" w:hAnsi="Times New Roman" w:cs="Times New Roman"/>
                <w:szCs w:val="21"/>
              </w:rPr>
              <w:t>【H】</w:t>
            </w: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2.1</w:t>
            </w:r>
            <w:r>
              <w:rPr>
                <w:rFonts w:hint="eastAsia" w:ascii="Times New Roman" w:hAnsi="Times New Roman" w:cs="Times New Roman"/>
                <w:szCs w:val="21"/>
              </w:rPr>
              <w:t>问题意识与能力。本专业要求学生具备较强的关注、发现、分析公共管理领域问题的能力，能够对复杂的社会现象和问题进行深入分析和研究，提出有效的解决方案。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2.2</w:t>
            </w:r>
            <w:r>
              <w:rPr>
                <w:rFonts w:hint="eastAsia" w:ascii="Times New Roman" w:hAnsi="Times New Roman" w:cs="Times New Roman"/>
                <w:szCs w:val="21"/>
              </w:rPr>
              <w:t>沟通与协调能力。本专业要求学生具备良好的沟通能力，能够与不同的人群进行有效的沟通和交流，包括政府官员、社会组织代表、公众等；具备较强的协调能力，能够协调各方面资源，推动项目的顺利实施。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.3</w:t>
            </w:r>
            <w:r>
              <w:rPr>
                <w:rFonts w:hint="eastAsia" w:ascii="Times New Roman" w:hAnsi="Times New Roman" w:cs="Times New Roman"/>
                <w:szCs w:val="21"/>
              </w:rPr>
              <w:t>合作与创新能力。本专业要求学生具备良好的公共管理或服务团队合作能力，能够与团队成员协作完成任务，共同实现公共管理或服务目标；具备公共管理或服务创新思维和能力，能够提出公共管理与服务领域创新解决方案，推动社会进步和发展。尤其具备凝聚团结组织内部力量、合理安排工作进程、创新工作方法的能力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.4</w:t>
            </w:r>
            <w:r>
              <w:rPr>
                <w:rFonts w:hint="eastAsia" w:ascii="Times New Roman" w:hAnsi="Times New Roman" w:cs="Times New Roman"/>
                <w:szCs w:val="21"/>
              </w:rPr>
              <w:t>组织与领导能力。本专业要求学生具备一定的公共部门领导和组织能力，能够在公共管理或服务团队中发挥带头作用，带领团队完成任务。能够熟练运用公共管理专业知识组织团队高效运转，在组织需要做出决断时具备迅速合理的做出决策的能力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毕业要求3：</w:t>
            </w:r>
            <w:r>
              <w:rPr>
                <w:rFonts w:hint="eastAsia" w:ascii="Times New Roman" w:hAnsi="Times New Roman" w:cs="Times New Roman"/>
                <w:szCs w:val="21"/>
              </w:rPr>
              <w:t>素养要求</w:t>
            </w:r>
            <w:r>
              <w:rPr>
                <w:rFonts w:ascii="Times New Roman" w:hAnsi="Times New Roman" w:cs="Times New Roman"/>
                <w:szCs w:val="21"/>
              </w:rPr>
              <w:t>【M】</w:t>
            </w: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3.1</w:t>
            </w:r>
            <w:r>
              <w:rPr>
                <w:rFonts w:hint="eastAsia" w:ascii="Times New Roman" w:hAnsi="Times New Roman" w:cs="Times New Roman"/>
                <w:szCs w:val="21"/>
              </w:rPr>
              <w:t>责任意识。本专业要求学生具有社会责任感，能够关注公共管理与服务领域的问题，积极参与公益活动，为社会发展做出贡献。本专业以培养国家公务人员为核心人才培养目标，要求本专业的学生具备强烈的责任感与牺牲精神，具备为党和国家的事业无私奉献的素质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.2</w:t>
            </w:r>
            <w:r>
              <w:rPr>
                <w:rFonts w:hint="eastAsia" w:ascii="Times New Roman" w:hAnsi="Times New Roman" w:cs="Times New Roman"/>
                <w:szCs w:val="21"/>
              </w:rPr>
              <w:t>公民意识。本专业要求学生具备良好的公民意识，能够发自内心的认同遵守法律法规，身体力行的履行公民的权利与义务。能够以主人翁的身份参与到公共事务当中，并有效运用公共管理相关知识践行公民的身份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0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.3</w:t>
            </w:r>
            <w:r>
              <w:rPr>
                <w:rFonts w:hint="eastAsia" w:ascii="Times New Roman" w:hAnsi="Times New Roman" w:cs="Times New Roman"/>
                <w:szCs w:val="21"/>
              </w:rPr>
              <w:t>服务意识。本专业要求学生具备公共服务意识，能够积极参与社区活动、志愿服务等公益事业，愿意为公共利益付出时间、精力和财富等。</w:t>
            </w:r>
          </w:p>
        </w:tc>
        <w:tc>
          <w:tcPr>
            <w:tcW w:w="6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3</w:t>
            </w:r>
          </w:p>
        </w:tc>
      </w:tr>
    </w:tbl>
    <w:p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1"/>
        <w:tblW w:w="148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843"/>
        <w:gridCol w:w="1417"/>
        <w:gridCol w:w="5535"/>
        <w:gridCol w:w="850"/>
        <w:gridCol w:w="969"/>
        <w:gridCol w:w="690"/>
        <w:gridCol w:w="848"/>
        <w:gridCol w:w="1179"/>
        <w:gridCol w:w="8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5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1179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1：案例选择与背景介绍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学习如何选择合适的公共管理案例，了解案例的背景和基本情况。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自学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讲授法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课堂测试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提问抢答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掌握案例分析的基本方法和技巧，为后续学习打下基础。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48987829"/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案例1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财政预算与政府融资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政府网站（上海信息公开）</w:t>
            </w: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明确公共财政管理的主要内容、公共预算管理的基本模式和过程、政府融资的基本模式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现成分析报告（后续需要形成政府项目对比）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、2、3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了解财政预算收入、支出项目构成，能够进行科学预算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了解政府融资渠道，能够根据财政状况、财政预算和政府职责、计划等，进行合理的融资（重点、难点）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案例2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土地征收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政府网站、裁判文书网</w:t>
            </w:r>
          </w:p>
        </w:tc>
        <w:tc>
          <w:tcPr>
            <w:tcW w:w="5535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理解政府土地管理的主要内容和管理依据（难点）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现成分析报告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1、2、3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能够根据政府目标、工作计划和外部环境等制定合理的土地政策，确定土地征收规模（重点）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3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土地征收过程中政府公共维稳工作的程序、权力、重点</w:t>
            </w:r>
          </w:p>
        </w:tc>
        <w:tc>
          <w:tcPr>
            <w:tcW w:w="85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案例3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招商引资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政府网站、裁判文书网</w:t>
            </w: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了解政府招商引资项目包括主导型制造业、配套型制造业与生产服务业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现成分析报告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理解地价、招商引资奖励、最低工资等招商引资政策对招商引资和政府绩效目标的影响（难点）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53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能够根据招商引资知识制定合理且有吸引力的地价、招商引资奖励、最低工资等招商引资政策，在招商引资竞标中取得良好绩效（重点，难点）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案例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公共资源配置与效率提升案例分析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政府网站</w:t>
            </w:r>
          </w:p>
        </w:tc>
        <w:tc>
          <w:tcPr>
            <w:tcW w:w="5535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分析公共资源配置的现状和问题，探讨提高公共资源使用效率的途径和方法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现成分析报告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1、2、3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53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学习如何优化公共资源配置，实现公共服务的均衡和高效。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验6：公共危机管理与应急响应案例分析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政府网站、裁判文书网</w:t>
            </w:r>
          </w:p>
        </w:tc>
        <w:tc>
          <w:tcPr>
            <w:tcW w:w="5535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分析公共危机管理的典型案例，了解危机管理的基本原则和策略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小组讨论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现成分析报告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1、2、3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535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掌握应急响应的流程和关键环节，提升应对突发事件的能力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="480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cs="明黑等宽" w:asciiTheme="majorEastAsia" w:hAnsiTheme="majorEastAsia" w:eastAsiaTheme="majorEastAsia"/>
          <w:bCs/>
          <w:kern w:val="0"/>
          <w:sz w:val="24"/>
          <w:szCs w:val="24"/>
        </w:rPr>
        <w:t>课程考核</w:t>
      </w:r>
      <w:r>
        <w:rPr>
          <w:rFonts w:cs="明黑等宽" w:asciiTheme="majorEastAsia" w:hAnsiTheme="majorEastAsia" w:eastAsiaTheme="majorEastAsia"/>
          <w:bCs/>
          <w:kern w:val="0"/>
          <w:sz w:val="24"/>
          <w:szCs w:val="24"/>
        </w:rPr>
        <w:t>内容为前述实验内容</w:t>
      </w:r>
      <w:r>
        <w:rPr>
          <w:rFonts w:hint="eastAsia" w:cs="明黑等宽" w:asciiTheme="majorEastAsia" w:hAnsiTheme="majorEastAsia" w:eastAsiaTheme="majorEastAsia"/>
          <w:bCs/>
          <w:kern w:val="0"/>
          <w:sz w:val="24"/>
          <w:szCs w:val="24"/>
        </w:rPr>
        <w:t>和实验过程</w:t>
      </w:r>
      <w:r>
        <w:rPr>
          <w:rFonts w:cs="明黑等宽" w:asciiTheme="majorEastAsia" w:hAnsiTheme="majorEastAsia" w:eastAsiaTheme="majorEastAsia"/>
          <w:bCs/>
          <w:kern w:val="0"/>
          <w:sz w:val="24"/>
          <w:szCs w:val="24"/>
        </w:rPr>
        <w:t>，考核方式主要为实验操作和实验报告</w:t>
      </w:r>
      <w:r>
        <w:rPr>
          <w:rFonts w:hint="eastAsia" w:cs="明黑等宽" w:asciiTheme="majorEastAsia" w:hAnsiTheme="majorEastAsia" w:eastAsiaTheme="majorEastAsia"/>
          <w:bCs/>
          <w:kern w:val="0"/>
          <w:sz w:val="24"/>
          <w:szCs w:val="24"/>
        </w:rPr>
        <w:t>，考核包括对团队考核和对学生个人考核两部分</w:t>
      </w:r>
      <w:r>
        <w:rPr>
          <w:rFonts w:hint="eastAsia" w:ascii="明黑等宽" w:hAnsi="Times New Roman" w:eastAsia="明黑等宽" w:cs="明黑等宽"/>
          <w:b/>
          <w:bCs/>
          <w:kern w:val="0"/>
          <w:sz w:val="24"/>
          <w:szCs w:val="24"/>
        </w:rPr>
        <w:t>。</w:t>
      </w:r>
    </w:p>
    <w:p>
      <w:pPr>
        <w:pStyle w:val="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表4-</w:t>
      </w:r>
      <w:r>
        <w:rPr>
          <w:rFonts w:ascii="Times New Roman" w:cs="Times New Roman"/>
          <w:b/>
          <w:sz w:val="21"/>
          <w:szCs w:val="21"/>
        </w:rPr>
        <w:t>1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3967"/>
        <w:gridCol w:w="1808"/>
        <w:gridCol w:w="1104"/>
        <w:gridCol w:w="14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>
            <w:pPr>
              <w:pStyle w:val="24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71"/>
              <w:ind w:left="185" w:right="177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15"/>
              <w:ind w:left="201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6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15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sz w:val="21"/>
                <w:szCs w:val="21"/>
              </w:rPr>
              <w:t>.政府土地征收、土地定性和规划有关的知识和方法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44.5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分析</w:t>
            </w:r>
            <w:r>
              <w:rPr>
                <w:rFonts w:ascii="Times New Roman" w:cs="Times New Roman"/>
                <w:sz w:val="22"/>
                <w:szCs w:val="22"/>
              </w:rPr>
              <w:t>报告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eastAsia" w:asci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案例路演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政府招商引资、不同招商引资项目对政府绩效目标的影响和招商引资策略的理论、知识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t xml:space="preserve"> </w:t>
            </w:r>
            <w:r>
              <w:rPr>
                <w:sz w:val="21"/>
                <w:szCs w:val="21"/>
              </w:rPr>
              <w:t>理解市政工程建设的重要意义和市政工程投资的模式及其影响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t xml:space="preserve"> </w:t>
            </w:r>
            <w:r>
              <w:rPr>
                <w:sz w:val="21"/>
                <w:szCs w:val="21"/>
              </w:rPr>
              <w:t>公共事业投资的类别及其意义、不同公共事业项目投资强度的影响及其投资依据的理论、知识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t xml:space="preserve"> </w:t>
            </w:r>
            <w:r>
              <w:rPr>
                <w:sz w:val="21"/>
                <w:szCs w:val="21"/>
              </w:rPr>
              <w:t>常见风险和危机的类别、来源和影响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6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12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sz w:val="21"/>
                <w:szCs w:val="21"/>
              </w:rPr>
              <w:t>.利用土地管理的知识和方法进行恰当的土地征收、土地规划的能力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24.5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实验规则测试</w:t>
            </w:r>
          </w:p>
          <w:p>
            <w:pPr>
              <w:pStyle w:val="24"/>
              <w:tabs>
                <w:tab w:val="left" w:pos="455"/>
              </w:tabs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>
            <w:pPr>
              <w:pStyle w:val="24"/>
              <w:tabs>
                <w:tab w:val="left" w:pos="455"/>
              </w:tabs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  <w:p>
            <w:pPr>
              <w:pStyle w:val="24"/>
              <w:tabs>
                <w:tab w:val="left" w:pos="455"/>
              </w:tabs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团队意识评价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t xml:space="preserve"> </w:t>
            </w:r>
            <w:r>
              <w:rPr>
                <w:sz w:val="21"/>
                <w:szCs w:val="21"/>
              </w:rPr>
              <w:t>运用招商引资知识进行招商决策，制定合理、科学的招商引资政策的能力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6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  <w:r>
              <w:rPr>
                <w:rFonts w:hint="default"/>
                <w:sz w:val="21"/>
                <w:szCs w:val="21"/>
              </w:rPr>
              <w:t>.</w:t>
            </w:r>
            <w:r>
              <w:t xml:space="preserve"> </w:t>
            </w:r>
            <w:r>
              <w:rPr>
                <w:sz w:val="21"/>
                <w:szCs w:val="21"/>
              </w:rPr>
              <w:t>针对可能发生的常见危机设计预案，危机防范和处置能力</w:t>
            </w:r>
            <w:r>
              <w:rPr>
                <w:rFonts w:hint="default"/>
                <w:sz w:val="21"/>
                <w:szCs w:val="21"/>
              </w:rPr>
              <w:t xml:space="preserve"> 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  <w:p>
            <w:pPr>
              <w:pStyle w:val="24"/>
              <w:kinsoku w:val="0"/>
              <w:overflowPunct w:val="0"/>
              <w:rPr>
                <w:rFonts w:hint="eastAsia" w:ascii="Times New Roman" w:eastAsia="宋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5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15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>
            <w:pPr>
              <w:pStyle w:val="24"/>
              <w:kinsoku w:val="0"/>
              <w:overflowPunct w:val="0"/>
              <w:spacing w:line="278" w:lineRule="auto"/>
              <w:ind w:left="242" w:right="98" w:hanging="132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1．树立明确的社会责任意识和科学的绩效观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21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  <w:p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团队意识评价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56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2.确立行政效率意识、服务意识和提高居民幸福感的以人为本思想。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65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1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24"/>
              <w:kinsoku w:val="0"/>
              <w:overflowPunct w:val="0"/>
              <w:spacing w:before="23"/>
              <w:ind w:lef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t xml:space="preserve"> </w:t>
            </w:r>
            <w:r>
              <w:rPr>
                <w:sz w:val="21"/>
                <w:szCs w:val="21"/>
              </w:rPr>
              <w:t>不断总结反思，系统思考和求真务实的精神和作风；具有良好的合作、竞争精神。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案例</w:t>
            </w:r>
            <w:r>
              <w:rPr>
                <w:rFonts w:ascii="Times New Roman" w:cs="Times New Roman"/>
                <w:sz w:val="22"/>
                <w:szCs w:val="22"/>
              </w:rPr>
              <w:t>1—</w:t>
            </w:r>
            <w:r>
              <w:rPr>
                <w:rFonts w:hint="eastAsia" w:asci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hint="eastAsia"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spacing w:before="66"/>
        <w:jc w:val="center"/>
        <w:rPr>
          <w:rFonts w:ascii="Times New Roman" w:hAnsi="Times New Roman" w:eastAsia="黑体" w:cs="Times New Roman"/>
          <w:kern w:val="0"/>
          <w:sz w:val="24"/>
          <w:szCs w:val="24"/>
          <w:highlight w:val="yellow"/>
          <w14:ligatures w14:val="standardContextual"/>
        </w:rPr>
      </w:pPr>
      <w:r>
        <w:rPr>
          <w:rFonts w:hint="eastAsia" w:ascii="Times New Roman" w:hAnsi="Times New Roman" w:eastAsia="宋体" w:cs="Times New Roman"/>
          <w:b/>
          <w:kern w:val="0"/>
          <w:szCs w:val="21"/>
          <w14:ligatures w14:val="standardContextual"/>
        </w:rPr>
        <w:t>表</w:t>
      </w:r>
      <w:r>
        <w:rPr>
          <w:rFonts w:ascii="Times New Roman" w:hAnsi="Times New Roman" w:eastAsia="宋体" w:cs="Times New Roman"/>
          <w:b/>
          <w:kern w:val="0"/>
          <w:szCs w:val="21"/>
          <w14:ligatures w14:val="standardContextual"/>
        </w:rPr>
        <w:t xml:space="preserve">4-2 </w:t>
      </w:r>
      <w:r>
        <w:rPr>
          <w:rFonts w:hint="eastAsia" w:ascii="Times New Roman" w:hAnsi="Times New Roman" w:eastAsia="宋体" w:cs="Times New Roman"/>
          <w:b/>
          <w:kern w:val="0"/>
          <w:szCs w:val="21"/>
          <w14:ligatures w14:val="standardContextual"/>
        </w:rPr>
        <w:t>课程目标与考核方式矩阵关系</w:t>
      </w:r>
    </w:p>
    <w:tbl>
      <w:tblPr>
        <w:tblStyle w:val="10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课程</w:t>
            </w:r>
          </w:p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</w:p>
        </w:tc>
        <w:tc>
          <w:tcPr>
            <w:tcW w:w="145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案例数据获取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10%</w:t>
            </w:r>
          </w:p>
        </w:tc>
        <w:tc>
          <w:tcPr>
            <w:tcW w:w="144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案例分析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55%</w:t>
            </w:r>
          </w:p>
        </w:tc>
        <w:tc>
          <w:tcPr>
            <w:tcW w:w="1519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分析报告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25%</w:t>
            </w:r>
          </w:p>
        </w:tc>
        <w:tc>
          <w:tcPr>
            <w:tcW w:w="152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路演能力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10%</w:t>
            </w:r>
          </w:p>
        </w:tc>
        <w:tc>
          <w:tcPr>
            <w:tcW w:w="2608" w:type="dxa"/>
            <w:vMerge w:val="continue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  <w14:ligatures w14:val="standardContextu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课程目标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44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519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52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2608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44.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课程目标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44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519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40%</w:t>
            </w:r>
          </w:p>
        </w:tc>
        <w:tc>
          <w:tcPr>
            <w:tcW w:w="152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2608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34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14:ligatures w14:val="standardContextual"/>
              </w:rPr>
              <w:t>课程目标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0%</w:t>
            </w:r>
          </w:p>
        </w:tc>
        <w:tc>
          <w:tcPr>
            <w:tcW w:w="1442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20%</w:t>
            </w:r>
          </w:p>
        </w:tc>
        <w:tc>
          <w:tcPr>
            <w:tcW w:w="1519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20%</w:t>
            </w:r>
          </w:p>
        </w:tc>
        <w:tc>
          <w:tcPr>
            <w:tcW w:w="1520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30%</w:t>
            </w:r>
          </w:p>
        </w:tc>
        <w:tc>
          <w:tcPr>
            <w:tcW w:w="2608" w:type="dxa"/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before="15"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val="en-US" w:eastAsia="zh-CN"/>
                <w14:ligatures w14:val="standardContextual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14:ligatures w14:val="standardContextual"/>
              </w:rPr>
              <w:t>%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>
      <w:pPr>
        <w:kinsoku w:val="0"/>
        <w:overflowPunct w:val="0"/>
        <w:autoSpaceDE w:val="0"/>
        <w:autoSpaceDN w:val="0"/>
        <w:adjustRightInd w:val="0"/>
        <w:spacing w:before="8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2" w:firstLineChars="200"/>
        <w:jc w:val="left"/>
        <w:rPr>
          <w:rFonts w:ascii="Times" w:hAnsi="Times" w:eastAsia="宋体" w:cs="Times"/>
          <w:b/>
          <w:kern w:val="0"/>
          <w:sz w:val="22"/>
          <w:szCs w:val="21"/>
        </w:rPr>
      </w:pPr>
      <w:r>
        <w:rPr>
          <w:rFonts w:ascii="Times" w:hAnsi="Times" w:eastAsia="宋体" w:cs="Times"/>
          <w:b/>
          <w:kern w:val="0"/>
          <w:sz w:val="22"/>
          <w:szCs w:val="21"/>
        </w:rPr>
        <w:t>1.</w:t>
      </w:r>
      <w:r>
        <w:rPr>
          <w:rFonts w:hint="eastAsia" w:ascii="Times" w:hAnsi="Times" w:eastAsia="宋体" w:cs="Times"/>
          <w:b/>
          <w:kern w:val="0"/>
          <w:sz w:val="22"/>
          <w:szCs w:val="21"/>
        </w:rPr>
        <w:t>团队得分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ascii="Times" w:hAnsi="Times" w:eastAsia="宋体" w:cs="Times"/>
          <w:kern w:val="0"/>
          <w:sz w:val="22"/>
          <w:szCs w:val="21"/>
        </w:rPr>
        <w:t>各组</w:t>
      </w:r>
      <w:r>
        <w:rPr>
          <w:rFonts w:hint="eastAsia" w:ascii="Times" w:hAnsi="Times" w:eastAsia="宋体" w:cs="Times"/>
          <w:kern w:val="0"/>
          <w:sz w:val="22"/>
          <w:szCs w:val="21"/>
        </w:rPr>
        <w:t>团队成绩（1</w:t>
      </w:r>
      <w:r>
        <w:rPr>
          <w:rFonts w:ascii="Times" w:hAnsi="Times" w:eastAsia="宋体" w:cs="Times"/>
          <w:kern w:val="0"/>
          <w:sz w:val="22"/>
          <w:szCs w:val="21"/>
        </w:rPr>
        <w:t>00</w:t>
      </w:r>
      <w:r>
        <w:rPr>
          <w:rFonts w:hint="eastAsia" w:ascii="Times" w:hAnsi="Times" w:eastAsia="宋体" w:cs="Times"/>
          <w:kern w:val="0"/>
          <w:sz w:val="22"/>
          <w:szCs w:val="21"/>
        </w:rPr>
        <w:t>%）=</w:t>
      </w:r>
      <w:r>
        <w:rPr>
          <w:rFonts w:ascii="Times" w:hAnsi="Times" w:eastAsia="宋体" w:cs="Times"/>
          <w:kern w:val="0"/>
          <w:sz w:val="22"/>
          <w:szCs w:val="21"/>
        </w:rPr>
        <w:t>实验</w:t>
      </w:r>
      <w:r>
        <w:rPr>
          <w:rFonts w:hint="eastAsia" w:ascii="Times" w:hAnsi="Times" w:eastAsia="宋体" w:cs="Times"/>
          <w:kern w:val="0"/>
          <w:sz w:val="22"/>
          <w:szCs w:val="21"/>
        </w:rPr>
        <w:t>操作成绩（</w:t>
      </w:r>
      <w:r>
        <w:rPr>
          <w:rFonts w:ascii="Times" w:hAnsi="Times" w:eastAsia="宋体" w:cs="Times"/>
          <w:kern w:val="0"/>
          <w:sz w:val="22"/>
          <w:szCs w:val="21"/>
        </w:rPr>
        <w:t>6</w:t>
      </w:r>
      <w:r>
        <w:rPr>
          <w:rFonts w:hint="eastAsia" w:ascii="Times" w:hAnsi="Times" w:eastAsia="宋体" w:cs="Times"/>
          <w:kern w:val="0"/>
          <w:sz w:val="22"/>
          <w:szCs w:val="21"/>
        </w:rPr>
        <w:t>0</w:t>
      </w:r>
      <w:r>
        <w:rPr>
          <w:rFonts w:ascii="Times" w:hAnsi="Times" w:eastAsia="宋体" w:cs="Times"/>
          <w:kern w:val="0"/>
          <w:sz w:val="22"/>
          <w:szCs w:val="21"/>
        </w:rPr>
        <w:t>%</w:t>
      </w:r>
      <w:r>
        <w:rPr>
          <w:rFonts w:hint="eastAsia" w:ascii="Times" w:hAnsi="Times" w:eastAsia="宋体" w:cs="Times"/>
          <w:kern w:val="0"/>
          <w:sz w:val="22"/>
          <w:szCs w:val="21"/>
        </w:rPr>
        <w:t>）</w:t>
      </w:r>
      <w:bookmarkStart w:id="1" w:name="_Hlk150198119"/>
      <w:r>
        <w:rPr>
          <w:rFonts w:hint="eastAsia" w:ascii="Times" w:hAnsi="Times" w:eastAsia="宋体" w:cs="Times"/>
          <w:kern w:val="0"/>
          <w:sz w:val="22"/>
          <w:szCs w:val="21"/>
        </w:rPr>
        <w:t>+</w:t>
      </w:r>
      <w:bookmarkEnd w:id="1"/>
      <w:r>
        <w:rPr>
          <w:rFonts w:ascii="Times" w:hAnsi="Times" w:eastAsia="宋体" w:cs="Times"/>
          <w:kern w:val="0"/>
          <w:sz w:val="22"/>
          <w:szCs w:val="21"/>
        </w:rPr>
        <w:t>实验报告（</w:t>
      </w:r>
      <w:r>
        <w:rPr>
          <w:rFonts w:hint="eastAsia" w:ascii="Times" w:hAnsi="Times" w:eastAsia="宋体" w:cs="Times"/>
          <w:kern w:val="0"/>
          <w:sz w:val="22"/>
          <w:szCs w:val="21"/>
        </w:rPr>
        <w:t>30</w:t>
      </w:r>
      <w:r>
        <w:rPr>
          <w:rFonts w:ascii="Times" w:hAnsi="Times" w:eastAsia="宋体" w:cs="Times"/>
          <w:kern w:val="0"/>
          <w:sz w:val="22"/>
          <w:szCs w:val="21"/>
        </w:rPr>
        <w:t>%）</w:t>
      </w:r>
      <w:r>
        <w:rPr>
          <w:rFonts w:hint="eastAsia" w:ascii="Times" w:hAnsi="Times" w:eastAsia="宋体" w:cs="Times"/>
          <w:kern w:val="0"/>
          <w:sz w:val="22"/>
          <w:szCs w:val="21"/>
        </w:rPr>
        <w:t xml:space="preserve">构成 </w:t>
      </w:r>
      <w:r>
        <w:rPr>
          <w:rFonts w:ascii="Times" w:hAnsi="Times" w:eastAsia="宋体" w:cs="Times"/>
          <w:kern w:val="0"/>
          <w:sz w:val="22"/>
          <w:szCs w:val="21"/>
        </w:rPr>
        <w:t xml:space="preserve">+ </w:t>
      </w:r>
      <w:r>
        <w:rPr>
          <w:rFonts w:hint="eastAsia" w:ascii="Times" w:hAnsi="Times" w:eastAsia="宋体" w:cs="Times"/>
          <w:kern w:val="0"/>
          <w:sz w:val="22"/>
          <w:szCs w:val="21"/>
        </w:rPr>
        <w:t>团队意识内部评价（</w:t>
      </w:r>
      <w:r>
        <w:rPr>
          <w:rFonts w:ascii="Times" w:hAnsi="Times" w:eastAsia="宋体" w:cs="Times"/>
          <w:kern w:val="0"/>
          <w:sz w:val="22"/>
          <w:szCs w:val="21"/>
        </w:rPr>
        <w:t>1</w:t>
      </w:r>
      <w:r>
        <w:rPr>
          <w:rFonts w:hint="eastAsia" w:ascii="Times" w:hAnsi="Times" w:eastAsia="宋体" w:cs="Times"/>
          <w:kern w:val="0"/>
          <w:sz w:val="22"/>
          <w:szCs w:val="21"/>
        </w:rPr>
        <w:t>0%）。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考核方式:实验预习、实验操作、实验报告、团队意识评价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2" w:firstLineChars="200"/>
        <w:jc w:val="left"/>
        <w:rPr>
          <w:rFonts w:ascii="Times" w:hAnsi="Times" w:eastAsia="宋体" w:cs="Times"/>
          <w:b/>
          <w:kern w:val="0"/>
          <w:sz w:val="22"/>
          <w:szCs w:val="21"/>
        </w:rPr>
      </w:pPr>
      <w:r>
        <w:rPr>
          <w:rFonts w:hint="eastAsia" w:ascii="Times" w:hAnsi="Times" w:eastAsia="宋体" w:cs="Times"/>
          <w:b/>
          <w:kern w:val="0"/>
          <w:sz w:val="22"/>
          <w:szCs w:val="21"/>
        </w:rPr>
        <w:t>2</w:t>
      </w:r>
      <w:r>
        <w:rPr>
          <w:rFonts w:ascii="Times" w:hAnsi="Times" w:eastAsia="宋体" w:cs="Times"/>
          <w:b/>
          <w:kern w:val="0"/>
          <w:sz w:val="22"/>
          <w:szCs w:val="21"/>
        </w:rPr>
        <w:t>.</w:t>
      </w:r>
      <w:r>
        <w:rPr>
          <w:rFonts w:hint="eastAsia" w:ascii="Times" w:hAnsi="Times" w:eastAsia="宋体" w:cs="Times"/>
          <w:b/>
          <w:kern w:val="0"/>
          <w:sz w:val="22"/>
          <w:szCs w:val="21"/>
        </w:rPr>
        <w:t>学生个人总成绩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学生个人业绩评分（1</w:t>
      </w:r>
      <w:r>
        <w:rPr>
          <w:rFonts w:ascii="Times" w:hAnsi="Times" w:eastAsia="宋体" w:cs="Times"/>
          <w:kern w:val="0"/>
          <w:sz w:val="22"/>
          <w:szCs w:val="21"/>
        </w:rPr>
        <w:t>00</w:t>
      </w:r>
      <w:r>
        <w:rPr>
          <w:rFonts w:hint="eastAsia" w:ascii="Times" w:hAnsi="Times" w:eastAsia="宋体" w:cs="Times"/>
          <w:kern w:val="0"/>
          <w:sz w:val="22"/>
          <w:szCs w:val="21"/>
        </w:rPr>
        <w:t>%）=团队得分（80%） + 实验规则测试得分（2</w:t>
      </w:r>
      <w:r>
        <w:rPr>
          <w:rFonts w:ascii="Times" w:hAnsi="Times" w:eastAsia="宋体" w:cs="Times"/>
          <w:kern w:val="0"/>
          <w:sz w:val="22"/>
          <w:szCs w:val="21"/>
        </w:rPr>
        <w:t>0</w:t>
      </w:r>
      <w:r>
        <w:rPr>
          <w:rFonts w:hint="eastAsia" w:ascii="Times" w:hAnsi="Times" w:eastAsia="宋体" w:cs="Times"/>
          <w:kern w:val="0"/>
          <w:sz w:val="22"/>
          <w:szCs w:val="21"/>
        </w:rPr>
        <w:t>%） - 出勤率扣分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考核方式：实验操作、实验报告、实验规则测试、考勤</w:t>
      </w:r>
    </w:p>
    <w:p>
      <w:pPr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</w:rPr>
        <w:t>（三）</w:t>
      </w:r>
      <w:r>
        <w:rPr>
          <w:rFonts w:ascii="Times New Roman" w:hAnsi="Times New Roman" w:eastAsia="黑体" w:cs="Times New Roman"/>
          <w:b/>
          <w:kern w:val="0"/>
          <w:sz w:val="24"/>
          <w:szCs w:val="24"/>
        </w:rPr>
        <w:t>评分标准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实验</w:t>
      </w:r>
      <w:r>
        <w:rPr>
          <w:rFonts w:ascii="Times" w:hAnsi="Times" w:eastAsia="宋体" w:cs="Times"/>
          <w:kern w:val="0"/>
          <w:sz w:val="22"/>
          <w:szCs w:val="21"/>
        </w:rPr>
        <w:t>操作成绩由</w:t>
      </w:r>
      <w:r>
        <w:rPr>
          <w:rFonts w:hint="eastAsia" w:ascii="Times" w:hAnsi="Times" w:eastAsia="宋体" w:cs="Times"/>
          <w:kern w:val="0"/>
          <w:sz w:val="22"/>
          <w:szCs w:val="21"/>
        </w:rPr>
        <w:t>沙盘</w:t>
      </w:r>
      <w:r>
        <w:rPr>
          <w:rFonts w:ascii="Times" w:hAnsi="Times" w:eastAsia="宋体" w:cs="Times"/>
          <w:kern w:val="0"/>
          <w:sz w:val="22"/>
          <w:szCs w:val="21"/>
        </w:rPr>
        <w:t>软件依据</w:t>
      </w:r>
      <w:r>
        <w:rPr>
          <w:rFonts w:hint="eastAsia" w:ascii="Times" w:hAnsi="Times" w:eastAsia="宋体" w:cs="Times"/>
          <w:kern w:val="0"/>
          <w:sz w:val="22"/>
          <w:szCs w:val="21"/>
        </w:rPr>
        <w:t>各</w:t>
      </w:r>
      <w:r>
        <w:rPr>
          <w:rFonts w:ascii="Times" w:hAnsi="Times" w:eastAsia="宋体" w:cs="Times"/>
          <w:kern w:val="0"/>
          <w:sz w:val="22"/>
          <w:szCs w:val="21"/>
        </w:rPr>
        <w:t>小组实验</w:t>
      </w:r>
      <w:r>
        <w:rPr>
          <w:rFonts w:hint="eastAsia" w:ascii="Times" w:hAnsi="Times" w:eastAsia="宋体" w:cs="Times"/>
          <w:kern w:val="0"/>
          <w:sz w:val="22"/>
          <w:szCs w:val="21"/>
        </w:rPr>
        <w:t>中</w:t>
      </w:r>
      <w:r>
        <w:rPr>
          <w:rFonts w:ascii="Times" w:hAnsi="Times" w:eastAsia="宋体" w:cs="Times"/>
          <w:kern w:val="0"/>
          <w:sz w:val="22"/>
          <w:szCs w:val="21"/>
        </w:rPr>
        <w:t>的</w:t>
      </w:r>
      <w:r>
        <w:rPr>
          <w:rFonts w:hint="eastAsia" w:ascii="Times" w:hAnsi="Times" w:eastAsia="宋体" w:cs="Times"/>
          <w:kern w:val="0"/>
          <w:sz w:val="22"/>
          <w:szCs w:val="21"/>
        </w:rPr>
        <w:t>新增就业占常住人口比例、企业活力指数、居民幸福值等几个</w:t>
      </w:r>
      <w:r>
        <w:rPr>
          <w:rFonts w:ascii="Times" w:hAnsi="Times" w:eastAsia="宋体" w:cs="Times"/>
          <w:kern w:val="0"/>
          <w:sz w:val="22"/>
          <w:szCs w:val="21"/>
        </w:rPr>
        <w:t>指标加权计算得出，</w:t>
      </w:r>
      <w:r>
        <w:rPr>
          <w:rFonts w:hint="eastAsia" w:ascii="Times" w:hAnsi="Times" w:eastAsia="宋体" w:cs="Times"/>
          <w:kern w:val="0"/>
          <w:sz w:val="22"/>
          <w:szCs w:val="21"/>
        </w:rPr>
        <w:t>抢答加分由实验</w:t>
      </w:r>
      <w:r>
        <w:rPr>
          <w:rFonts w:ascii="Times" w:hAnsi="Times" w:eastAsia="宋体" w:cs="Times"/>
          <w:kern w:val="0"/>
          <w:sz w:val="22"/>
          <w:szCs w:val="21"/>
        </w:rPr>
        <w:t>指导老师根据各小组抢答问题的情况得出（</w:t>
      </w:r>
      <w:r>
        <w:rPr>
          <w:rFonts w:hint="eastAsia" w:ascii="Times" w:hAnsi="Times" w:eastAsia="宋体" w:cs="Times"/>
          <w:kern w:val="0"/>
          <w:sz w:val="22"/>
          <w:szCs w:val="21"/>
        </w:rPr>
        <w:t>每</w:t>
      </w:r>
      <w:r>
        <w:rPr>
          <w:rFonts w:ascii="Times" w:hAnsi="Times" w:eastAsia="宋体" w:cs="Times"/>
          <w:kern w:val="0"/>
          <w:sz w:val="22"/>
          <w:szCs w:val="21"/>
        </w:rPr>
        <w:t>抢答正确一个团队加</w:t>
      </w:r>
      <w:r>
        <w:rPr>
          <w:rFonts w:hint="eastAsia" w:ascii="Times" w:hAnsi="Times" w:eastAsia="宋体" w:cs="Times"/>
          <w:kern w:val="0"/>
          <w:sz w:val="22"/>
          <w:szCs w:val="21"/>
        </w:rPr>
        <w:t>1分</w:t>
      </w:r>
      <w:r>
        <w:rPr>
          <w:rFonts w:ascii="Times" w:hAnsi="Times" w:eastAsia="宋体" w:cs="Times"/>
          <w:kern w:val="0"/>
          <w:sz w:val="22"/>
          <w:szCs w:val="21"/>
        </w:rPr>
        <w:t>）</w:t>
      </w:r>
      <w:r>
        <w:rPr>
          <w:rFonts w:hint="eastAsia" w:ascii="Times" w:hAnsi="Times" w:eastAsia="宋体" w:cs="Times"/>
          <w:kern w:val="0"/>
          <w:sz w:val="22"/>
          <w:szCs w:val="21"/>
        </w:rPr>
        <w:t>。</w:t>
      </w:r>
    </w:p>
    <w:p>
      <w:pPr>
        <w:snapToGrid w:val="0"/>
        <w:spacing w:line="400" w:lineRule="exact"/>
        <w:ind w:firstLine="440" w:firstLineChars="200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实验报告评分按分享生动性、专业深度、实验报告文档规范美观大方三个</w:t>
      </w:r>
      <w:r>
        <w:rPr>
          <w:rFonts w:ascii="Times" w:hAnsi="Times" w:eastAsia="宋体" w:cs="Times"/>
          <w:kern w:val="0"/>
          <w:sz w:val="22"/>
          <w:szCs w:val="21"/>
        </w:rPr>
        <w:t>维度</w:t>
      </w:r>
      <w:r>
        <w:rPr>
          <w:rFonts w:hint="eastAsia" w:ascii="Times" w:hAnsi="Times" w:eastAsia="宋体" w:cs="Times"/>
          <w:kern w:val="0"/>
          <w:sz w:val="22"/>
          <w:szCs w:val="21"/>
        </w:rPr>
        <w:t>评分</w:t>
      </w:r>
      <w:r>
        <w:rPr>
          <w:rFonts w:ascii="Times" w:hAnsi="Times" w:eastAsia="宋体" w:cs="Times"/>
          <w:kern w:val="0"/>
          <w:sz w:val="22"/>
          <w:szCs w:val="21"/>
        </w:rPr>
        <w:t>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40" w:firstLineChars="200"/>
        <w:jc w:val="left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团队意识内部评价由</w:t>
      </w:r>
      <w:r>
        <w:rPr>
          <w:rFonts w:ascii="Times" w:hAnsi="Times" w:eastAsia="宋体" w:cs="Times"/>
          <w:kern w:val="0"/>
          <w:sz w:val="22"/>
          <w:szCs w:val="21"/>
        </w:rPr>
        <w:t>各小组自己根据组员</w:t>
      </w:r>
      <w:r>
        <w:rPr>
          <w:rFonts w:hint="eastAsia" w:ascii="Times" w:hAnsi="Times" w:eastAsia="宋体" w:cs="Times"/>
          <w:kern w:val="0"/>
          <w:sz w:val="22"/>
          <w:szCs w:val="21"/>
        </w:rPr>
        <w:t>在</w:t>
      </w:r>
      <w:r>
        <w:rPr>
          <w:rFonts w:ascii="Times" w:hAnsi="Times" w:eastAsia="宋体" w:cs="Times"/>
          <w:kern w:val="0"/>
          <w:sz w:val="22"/>
          <w:szCs w:val="21"/>
        </w:rPr>
        <w:t>实验过程中参与的积极性、</w:t>
      </w:r>
      <w:r>
        <w:rPr>
          <w:rFonts w:hint="eastAsia" w:ascii="Times" w:hAnsi="Times" w:eastAsia="宋体" w:cs="Times"/>
          <w:kern w:val="0"/>
          <w:sz w:val="22"/>
          <w:szCs w:val="21"/>
        </w:rPr>
        <w:t>主动性</w:t>
      </w:r>
      <w:r>
        <w:rPr>
          <w:rFonts w:ascii="Times" w:hAnsi="Times" w:eastAsia="宋体" w:cs="Times"/>
          <w:kern w:val="0"/>
          <w:sz w:val="22"/>
          <w:szCs w:val="21"/>
        </w:rPr>
        <w:t>和团队</w:t>
      </w:r>
      <w:r>
        <w:rPr>
          <w:rFonts w:hint="eastAsia" w:ascii="Times" w:hAnsi="Times" w:eastAsia="宋体" w:cs="Times"/>
          <w:kern w:val="0"/>
          <w:sz w:val="22"/>
          <w:szCs w:val="21"/>
        </w:rPr>
        <w:t>意识评价得出，</w:t>
      </w:r>
      <w:r>
        <w:rPr>
          <w:rFonts w:ascii="Times" w:hAnsi="Times" w:eastAsia="宋体" w:cs="Times"/>
          <w:kern w:val="0"/>
          <w:sz w:val="22"/>
          <w:szCs w:val="21"/>
        </w:rPr>
        <w:t>最高</w:t>
      </w:r>
      <w:r>
        <w:rPr>
          <w:rFonts w:hint="eastAsia" w:ascii="Times" w:hAnsi="Times" w:eastAsia="宋体" w:cs="Times"/>
          <w:kern w:val="0"/>
          <w:sz w:val="22"/>
          <w:szCs w:val="21"/>
        </w:rPr>
        <w:t>10分</w:t>
      </w:r>
      <w:r>
        <w:rPr>
          <w:rFonts w:ascii="Times" w:hAnsi="Times" w:eastAsia="宋体" w:cs="Times"/>
          <w:kern w:val="0"/>
          <w:sz w:val="22"/>
          <w:szCs w:val="21"/>
        </w:rPr>
        <w:t>。</w:t>
      </w:r>
    </w:p>
    <w:p>
      <w:pPr>
        <w:snapToGrid w:val="0"/>
        <w:spacing w:line="400" w:lineRule="exact"/>
        <w:ind w:firstLine="440" w:firstLineChars="200"/>
        <w:rPr>
          <w:rFonts w:ascii="Times" w:hAnsi="Times" w:eastAsia="宋体" w:cs="Times"/>
          <w:kern w:val="0"/>
          <w:sz w:val="22"/>
          <w:szCs w:val="21"/>
        </w:rPr>
      </w:pPr>
      <w:r>
        <w:rPr>
          <w:rFonts w:hint="eastAsia" w:ascii="Times" w:hAnsi="Times" w:eastAsia="宋体" w:cs="Times"/>
          <w:kern w:val="0"/>
          <w:sz w:val="22"/>
          <w:szCs w:val="21"/>
        </w:rPr>
        <w:t>出勤率：病事假扣2分/次，缺席5分/半天</w:t>
      </w:r>
    </w:p>
    <w:p>
      <w:pPr>
        <w:snapToGrid w:val="0"/>
        <w:spacing w:line="400" w:lineRule="exact"/>
        <w:ind w:firstLine="440" w:firstLineChars="200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" w:hAnsi="Times" w:eastAsia="宋体" w:cs="Times"/>
          <w:kern w:val="0"/>
          <w:sz w:val="22"/>
          <w:szCs w:val="21"/>
        </w:rPr>
        <w:t>各项得分</w:t>
      </w:r>
      <w:r>
        <w:rPr>
          <w:rFonts w:hint="eastAsia" w:ascii="Times" w:hAnsi="Times" w:eastAsia="宋体" w:cs="Times"/>
          <w:kern w:val="0"/>
          <w:sz w:val="22"/>
          <w:szCs w:val="21"/>
        </w:rPr>
        <w:t>之和</w:t>
      </w:r>
      <w:r>
        <w:rPr>
          <w:rFonts w:ascii="Times" w:hAnsi="Times" w:eastAsia="宋体" w:cs="Times"/>
          <w:kern w:val="0"/>
          <w:sz w:val="22"/>
          <w:szCs w:val="21"/>
        </w:rPr>
        <w:t>大于</w:t>
      </w:r>
      <w:r>
        <w:rPr>
          <w:rFonts w:hint="eastAsia" w:ascii="Times" w:hAnsi="Times" w:eastAsia="宋体" w:cs="Times"/>
          <w:kern w:val="0"/>
          <w:sz w:val="22"/>
          <w:szCs w:val="21"/>
        </w:rPr>
        <w:t>100按10</w:t>
      </w:r>
      <w:r>
        <w:rPr>
          <w:rFonts w:ascii="Times" w:hAnsi="Times" w:eastAsia="宋体" w:cs="Times"/>
          <w:kern w:val="0"/>
          <w:sz w:val="22"/>
          <w:szCs w:val="21"/>
        </w:rPr>
        <w:t>0</w:t>
      </w:r>
      <w:r>
        <w:rPr>
          <w:rFonts w:hint="eastAsia" w:ascii="Times" w:hAnsi="Times" w:eastAsia="宋体" w:cs="Times"/>
          <w:kern w:val="0"/>
          <w:sz w:val="22"/>
          <w:szCs w:val="21"/>
        </w:rPr>
        <w:t>分</w:t>
      </w:r>
      <w:r>
        <w:rPr>
          <w:rFonts w:ascii="Times" w:hAnsi="Times" w:eastAsia="宋体" w:cs="Times"/>
          <w:kern w:val="0"/>
          <w:sz w:val="22"/>
          <w:szCs w:val="21"/>
        </w:rPr>
        <w:t>计算。</w:t>
      </w: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公共事业管理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管理学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公共管理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教学系（教研室）讨论制定，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管理学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院教学工作委员会审定，教务处审核批准，自2023级开始执行。</w: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42C6FD-9E19-4E6F-B678-2426CC5F75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8CA5B6E-361C-4264-8BE4-30BAA57AA1CA}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15E489A6-1B32-40FC-9196-1D9C4327913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1F7A888F-70EB-4B48-9EFD-C2121B0842EB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  <w:embedRegular r:id="rId5" w:fontKey="{4B3734F4-09F8-4EE4-A7C5-4CFF206EF991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245BE52F-FC64-4573-A82C-3DDA92FF9854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  <w:embedRegular r:id="rId7" w:fontKey="{B233CE8B-87A3-45D4-80B9-4BCF489A2D4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MWE0MGM0NDdhMTAyODdjOGIyYzVmMzBhMmJkNDgifQ=="/>
  </w:docVars>
  <w:rsids>
    <w:rsidRoot w:val="008F4441"/>
    <w:rsid w:val="00001AA7"/>
    <w:rsid w:val="000173C2"/>
    <w:rsid w:val="00036581"/>
    <w:rsid w:val="00040649"/>
    <w:rsid w:val="000568EB"/>
    <w:rsid w:val="00085F49"/>
    <w:rsid w:val="000C3D73"/>
    <w:rsid w:val="000C5191"/>
    <w:rsid w:val="000D6B29"/>
    <w:rsid w:val="000D7A02"/>
    <w:rsid w:val="000E06A4"/>
    <w:rsid w:val="000E5E8C"/>
    <w:rsid w:val="001005AD"/>
    <w:rsid w:val="00135E7F"/>
    <w:rsid w:val="00143B3E"/>
    <w:rsid w:val="00143FF7"/>
    <w:rsid w:val="001744A3"/>
    <w:rsid w:val="001759F0"/>
    <w:rsid w:val="001C72BE"/>
    <w:rsid w:val="001D02A4"/>
    <w:rsid w:val="001D24B0"/>
    <w:rsid w:val="001F0978"/>
    <w:rsid w:val="00213085"/>
    <w:rsid w:val="00217F18"/>
    <w:rsid w:val="00226E81"/>
    <w:rsid w:val="00241260"/>
    <w:rsid w:val="002D45DB"/>
    <w:rsid w:val="002F2D6F"/>
    <w:rsid w:val="00300172"/>
    <w:rsid w:val="0030520E"/>
    <w:rsid w:val="00317C70"/>
    <w:rsid w:val="00317DE6"/>
    <w:rsid w:val="003212D6"/>
    <w:rsid w:val="003363E5"/>
    <w:rsid w:val="003708BC"/>
    <w:rsid w:val="003C51E5"/>
    <w:rsid w:val="003F5DE8"/>
    <w:rsid w:val="00400041"/>
    <w:rsid w:val="004770EC"/>
    <w:rsid w:val="004B1D1C"/>
    <w:rsid w:val="004C400D"/>
    <w:rsid w:val="004D1B73"/>
    <w:rsid w:val="004D2E9D"/>
    <w:rsid w:val="004F64DB"/>
    <w:rsid w:val="00501BAD"/>
    <w:rsid w:val="00530E74"/>
    <w:rsid w:val="005348D4"/>
    <w:rsid w:val="00542479"/>
    <w:rsid w:val="005424AA"/>
    <w:rsid w:val="00544EAA"/>
    <w:rsid w:val="005538AE"/>
    <w:rsid w:val="005E3398"/>
    <w:rsid w:val="006035BD"/>
    <w:rsid w:val="00606432"/>
    <w:rsid w:val="006575F3"/>
    <w:rsid w:val="006701B9"/>
    <w:rsid w:val="00671AC4"/>
    <w:rsid w:val="006A4226"/>
    <w:rsid w:val="006A42BC"/>
    <w:rsid w:val="006D7347"/>
    <w:rsid w:val="006F7FBA"/>
    <w:rsid w:val="00736E80"/>
    <w:rsid w:val="00755E85"/>
    <w:rsid w:val="00772125"/>
    <w:rsid w:val="00793386"/>
    <w:rsid w:val="007A2E5A"/>
    <w:rsid w:val="00820CA3"/>
    <w:rsid w:val="00833BC2"/>
    <w:rsid w:val="008F31AD"/>
    <w:rsid w:val="008F4441"/>
    <w:rsid w:val="00903BA2"/>
    <w:rsid w:val="00903E22"/>
    <w:rsid w:val="00906786"/>
    <w:rsid w:val="00943A78"/>
    <w:rsid w:val="009572F3"/>
    <w:rsid w:val="009A6694"/>
    <w:rsid w:val="009C4C84"/>
    <w:rsid w:val="009C7B46"/>
    <w:rsid w:val="009D15CE"/>
    <w:rsid w:val="009E2190"/>
    <w:rsid w:val="00A02E2B"/>
    <w:rsid w:val="00A17432"/>
    <w:rsid w:val="00A23A71"/>
    <w:rsid w:val="00A51C64"/>
    <w:rsid w:val="00A56F42"/>
    <w:rsid w:val="00A90958"/>
    <w:rsid w:val="00A965B6"/>
    <w:rsid w:val="00AD3E5A"/>
    <w:rsid w:val="00AD5FBC"/>
    <w:rsid w:val="00AE02E0"/>
    <w:rsid w:val="00BA4C83"/>
    <w:rsid w:val="00C2471D"/>
    <w:rsid w:val="00C33C5C"/>
    <w:rsid w:val="00C41420"/>
    <w:rsid w:val="00C431A3"/>
    <w:rsid w:val="00C64466"/>
    <w:rsid w:val="00C67328"/>
    <w:rsid w:val="00C73F45"/>
    <w:rsid w:val="00C8497E"/>
    <w:rsid w:val="00C926CB"/>
    <w:rsid w:val="00CB3340"/>
    <w:rsid w:val="00CC36BD"/>
    <w:rsid w:val="00CE18CA"/>
    <w:rsid w:val="00D12620"/>
    <w:rsid w:val="00D150FB"/>
    <w:rsid w:val="00D30B38"/>
    <w:rsid w:val="00D415F3"/>
    <w:rsid w:val="00D6668F"/>
    <w:rsid w:val="00DA320D"/>
    <w:rsid w:val="00DC383A"/>
    <w:rsid w:val="00DD0AFC"/>
    <w:rsid w:val="00E36525"/>
    <w:rsid w:val="00EA01FC"/>
    <w:rsid w:val="00EC4EB7"/>
    <w:rsid w:val="00ED5A20"/>
    <w:rsid w:val="00EE33BA"/>
    <w:rsid w:val="00EE5749"/>
    <w:rsid w:val="00F03B7C"/>
    <w:rsid w:val="00F23343"/>
    <w:rsid w:val="00F4569B"/>
    <w:rsid w:val="00F47977"/>
    <w:rsid w:val="00F856C2"/>
    <w:rsid w:val="00F93584"/>
    <w:rsid w:val="00F94323"/>
    <w:rsid w:val="00FB1211"/>
    <w:rsid w:val="00FE1C84"/>
    <w:rsid w:val="00FE50D9"/>
    <w:rsid w:val="00FE7F7D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3EFB7231"/>
    <w:rsid w:val="418D3B89"/>
    <w:rsid w:val="421B33FA"/>
    <w:rsid w:val="437124F1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AE4F53"/>
    <w:rsid w:val="52BC29D7"/>
    <w:rsid w:val="545E2DEB"/>
    <w:rsid w:val="54E63D3C"/>
    <w:rsid w:val="56151E85"/>
    <w:rsid w:val="56DA16D1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2"/>
    <w:autoRedefine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字符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字符"/>
    <w:basedOn w:val="12"/>
    <w:link w:val="3"/>
    <w:qFormat/>
    <w:uiPriority w:val="99"/>
  </w:style>
  <w:style w:type="character" w:customStyle="1" w:styleId="19">
    <w:name w:val="批注框文本 字符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20">
    <w:name w:val="批注主题 字符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字符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906</Words>
  <Characters>5170</Characters>
  <Lines>43</Lines>
  <Paragraphs>12</Paragraphs>
  <TotalTime>27</TotalTime>
  <ScaleCrop>false</ScaleCrop>
  <LinksUpToDate>false</LinksUpToDate>
  <CharactersWithSpaces>6064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刘苇</cp:lastModifiedBy>
  <cp:lastPrinted>2023-06-29T08:57:00Z</cp:lastPrinted>
  <dcterms:modified xsi:type="dcterms:W3CDTF">2024-03-20T03:39:43Z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7169E5310F00413AAE6B821F3B6E6F8B_13</vt:lpwstr>
  </property>
</Properties>
</file>